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23DA" w14:textId="41DB6C19" w:rsidR="004D16B3" w:rsidRDefault="00170ECB" w:rsidP="00CB59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Sorting for Genomics</w:t>
      </w:r>
      <w:r w:rsidR="00271F39">
        <w:rPr>
          <w:sz w:val="32"/>
          <w:szCs w:val="32"/>
          <w:u w:val="single"/>
        </w:rPr>
        <w:t xml:space="preserve"> FAQ</w:t>
      </w:r>
    </w:p>
    <w:p w14:paraId="797359FE" w14:textId="77777777" w:rsidR="00AC77FD" w:rsidRPr="00CB592B" w:rsidRDefault="00AC77FD" w:rsidP="00CB592B">
      <w:pPr>
        <w:jc w:val="center"/>
        <w:rPr>
          <w:sz w:val="32"/>
          <w:szCs w:val="32"/>
          <w:u w:val="single"/>
        </w:rPr>
      </w:pPr>
    </w:p>
    <w:p w14:paraId="51780CDB" w14:textId="683B1D84" w:rsidR="004905A3" w:rsidRDefault="004905A3" w:rsidP="00583AA0">
      <w:pPr>
        <w:rPr>
          <w:b/>
          <w:bCs/>
        </w:rPr>
      </w:pPr>
      <w:r>
        <w:rPr>
          <w:b/>
          <w:bCs/>
        </w:rPr>
        <w:t xml:space="preserve">How can </w:t>
      </w:r>
      <w:r w:rsidR="003E45A4">
        <w:rPr>
          <w:b/>
          <w:bCs/>
        </w:rPr>
        <w:t>I facilitate</w:t>
      </w:r>
      <w:r>
        <w:rPr>
          <w:b/>
          <w:bCs/>
        </w:rPr>
        <w:t xml:space="preserve"> optimal recover</w:t>
      </w:r>
      <w:r w:rsidR="00327E95">
        <w:rPr>
          <w:b/>
          <w:bCs/>
        </w:rPr>
        <w:t xml:space="preserve">y </w:t>
      </w:r>
      <w:r w:rsidR="003E45A4">
        <w:rPr>
          <w:b/>
          <w:bCs/>
        </w:rPr>
        <w:t>of sorted cells in</w:t>
      </w:r>
      <w:r w:rsidR="00327E95">
        <w:rPr>
          <w:b/>
          <w:bCs/>
        </w:rPr>
        <w:t xml:space="preserve"> my collection tubes/plate?</w:t>
      </w:r>
    </w:p>
    <w:p w14:paraId="3304A742" w14:textId="4E7C7367" w:rsidR="004905A3" w:rsidRDefault="004905A3" w:rsidP="00583AA0"/>
    <w:p w14:paraId="7FB5B2CC" w14:textId="3CA086C0" w:rsidR="009C4A7C" w:rsidRDefault="008364DF" w:rsidP="00583AA0">
      <w:r>
        <w:t>Collection tubes</w:t>
      </w:r>
      <w:r w:rsidR="003E45A4">
        <w:t>/sample wells</w:t>
      </w:r>
      <w:r>
        <w:t xml:space="preserve"> can be pre-coated overnight </w:t>
      </w:r>
      <w:r w:rsidR="008B098D">
        <w:t>with</w:t>
      </w:r>
      <w:r w:rsidR="00576611">
        <w:t xml:space="preserve"> high serum media</w:t>
      </w:r>
      <w:r w:rsidR="00722251">
        <w:t xml:space="preserve"> or </w:t>
      </w:r>
      <w:r w:rsidR="008B098D">
        <w:t xml:space="preserve">100% </w:t>
      </w:r>
      <w:r w:rsidR="008B6F8F">
        <w:t>FBS serum</w:t>
      </w:r>
      <w:r w:rsidR="00576611">
        <w:t xml:space="preserve"> at 4 degrees</w:t>
      </w:r>
      <w:r w:rsidR="00A445AA">
        <w:t xml:space="preserve"> Celsius</w:t>
      </w:r>
      <w:r w:rsidR="00576611">
        <w:t xml:space="preserve"> in the fridge</w:t>
      </w:r>
      <w:r w:rsidR="00A445AA">
        <w:t>.</w:t>
      </w:r>
      <w:r w:rsidR="00373616">
        <w:t xml:space="preserve"> </w:t>
      </w:r>
      <w:r w:rsidR="00D05193">
        <w:t>Prior to the sort</w:t>
      </w:r>
      <w:r w:rsidR="001A6BAC">
        <w:t xml:space="preserve">, decant the serum and </w:t>
      </w:r>
      <w:r w:rsidR="00336924">
        <w:t>replace with your desire</w:t>
      </w:r>
      <w:r w:rsidR="001A5111">
        <w:t>d volume of collection media</w:t>
      </w:r>
      <w:r w:rsidR="003E45A4">
        <w:t>.</w:t>
      </w:r>
      <w:r w:rsidR="001F6A36">
        <w:t xml:space="preserve"> The serum acts to coat the sides of the tube so that sorted cells </w:t>
      </w:r>
      <w:r w:rsidR="00CF5F7C">
        <w:t>don’t impact</w:t>
      </w:r>
      <w:r w:rsidR="001F6A36">
        <w:t xml:space="preserve"> a dry </w:t>
      </w:r>
      <w:r w:rsidR="00885BFF">
        <w:t xml:space="preserve">surface </w:t>
      </w:r>
      <w:proofErr w:type="gramStart"/>
      <w:r w:rsidR="00885BFF">
        <w:t>and</w:t>
      </w:r>
      <w:r w:rsidR="001F6A36">
        <w:t xml:space="preserve"> also</w:t>
      </w:r>
      <w:proofErr w:type="gramEnd"/>
      <w:r w:rsidR="001F6A36">
        <w:t xml:space="preserve"> helps to negate an</w:t>
      </w:r>
      <w:r w:rsidR="004D4805">
        <w:t>y</w:t>
      </w:r>
      <w:r w:rsidR="001F6A36">
        <w:t xml:space="preserve"> electrostatic charge</w:t>
      </w:r>
      <w:r w:rsidR="003A35E3">
        <w:t xml:space="preserve"> in the collection vessels</w:t>
      </w:r>
      <w:r w:rsidR="001F6A36">
        <w:t xml:space="preserve"> that could affect</w:t>
      </w:r>
      <w:r w:rsidR="00FD7240">
        <w:t xml:space="preserve"> the path of the sorted droplets.</w:t>
      </w:r>
      <w:r w:rsidR="00D024A7">
        <w:t xml:space="preserve"> For </w:t>
      </w:r>
      <w:r w:rsidR="00640398">
        <w:t xml:space="preserve">details on </w:t>
      </w:r>
      <w:r w:rsidR="00D024A7">
        <w:t>collection</w:t>
      </w:r>
      <w:r w:rsidR="009179E3">
        <w:t xml:space="preserve"> buffer, see below</w:t>
      </w:r>
      <w:r w:rsidR="00640398">
        <w:t>:</w:t>
      </w:r>
    </w:p>
    <w:p w14:paraId="1FFE2030" w14:textId="77777777" w:rsidR="00782BB9" w:rsidRPr="00782BB9" w:rsidRDefault="00782BB9" w:rsidP="00782BB9">
      <w:pPr>
        <w:numPr>
          <w:ilvl w:val="0"/>
          <w:numId w:val="2"/>
        </w:numPr>
        <w:shd w:val="clear" w:color="auto" w:fill="F6F6F6"/>
        <w:spacing w:before="100" w:beforeAutospacing="1" w:after="100" w:afterAutospacing="1"/>
        <w:ind w:left="1020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82BB9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Collection buffer for collecting cells post-sorting</w:t>
      </w:r>
    </w:p>
    <w:p w14:paraId="1DB50D1F" w14:textId="2317F5F4" w:rsidR="00CC17BD" w:rsidRPr="00CC17BD" w:rsidRDefault="00782BB9" w:rsidP="00CC17BD">
      <w:pPr>
        <w:numPr>
          <w:ilvl w:val="1"/>
          <w:numId w:val="2"/>
        </w:numPr>
        <w:shd w:val="clear" w:color="auto" w:fill="F6F6F6"/>
        <w:spacing w:before="100" w:beforeAutospacing="1" w:after="100" w:afterAutospacing="1"/>
        <w:ind w:left="2040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82BB9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Pre-coat the collection tubes by </w:t>
      </w:r>
      <w:r w:rsidR="00640398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filling </w:t>
      </w:r>
      <w:r w:rsidR="00CC17BD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with one of the following options:</w:t>
      </w:r>
    </w:p>
    <w:p w14:paraId="73258C2E" w14:textId="634875A5" w:rsidR="00782BB9" w:rsidRPr="00B361B6" w:rsidRDefault="00782BB9" w:rsidP="00CC17BD">
      <w:pPr>
        <w:numPr>
          <w:ilvl w:val="3"/>
          <w:numId w:val="2"/>
        </w:numPr>
        <w:shd w:val="clear" w:color="auto" w:fill="F6F6F6"/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CC17BD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PBS + 20% FBS</w:t>
      </w:r>
    </w:p>
    <w:p w14:paraId="4A88DB93" w14:textId="19F03E01" w:rsidR="00B361B6" w:rsidRPr="00A70E62" w:rsidRDefault="00B361B6" w:rsidP="00CC17BD">
      <w:pPr>
        <w:numPr>
          <w:ilvl w:val="3"/>
          <w:numId w:val="2"/>
        </w:numPr>
        <w:shd w:val="clear" w:color="auto" w:fill="F6F6F6"/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100% FBS</w:t>
      </w:r>
    </w:p>
    <w:p w14:paraId="756B9746" w14:textId="7ED04102" w:rsidR="00A70E62" w:rsidRPr="00B361B6" w:rsidRDefault="00A70E62" w:rsidP="00A70E62">
      <w:pPr>
        <w:numPr>
          <w:ilvl w:val="2"/>
          <w:numId w:val="2"/>
        </w:numPr>
        <w:shd w:val="clear" w:color="auto" w:fill="F6F6F6"/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Let </w:t>
      </w:r>
      <w:r w:rsidR="00931522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filled collection tubes incubate overnight in the fridge at 4 degrees Celsius.</w:t>
      </w:r>
    </w:p>
    <w:p w14:paraId="279E502C" w14:textId="2B2A368C" w:rsidR="00B464D6" w:rsidRPr="00B464D6" w:rsidRDefault="00931522" w:rsidP="00B464D6">
      <w:pPr>
        <w:numPr>
          <w:ilvl w:val="2"/>
          <w:numId w:val="2"/>
        </w:numPr>
        <w:shd w:val="clear" w:color="auto" w:fill="F6F6F6"/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Immediately p</w:t>
      </w:r>
      <w:r w:rsidR="00B361B6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rior to sort, decant and add an appropriate volume of collection buffer to collection tube</w:t>
      </w:r>
      <w:r w:rsidR="00B464D6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. Aim for </w:t>
      </w:r>
      <w:r w:rsidR="00F45167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~</w:t>
      </w:r>
      <w:r w:rsidR="00B464D6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10% final FBS at the end of the sort</w:t>
      </w:r>
      <w:r w:rsidR="00F45167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 in your collection tube</w:t>
      </w:r>
      <w:r w:rsidR="00B464D6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.</w:t>
      </w:r>
      <w:r w:rsidR="00F45167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 Here are some rough guides:</w:t>
      </w:r>
    </w:p>
    <w:p w14:paraId="76AECA11" w14:textId="4462EC7A" w:rsidR="00782BB9" w:rsidRPr="00782BB9" w:rsidRDefault="00782BB9" w:rsidP="00782BB9">
      <w:pPr>
        <w:numPr>
          <w:ilvl w:val="2"/>
          <w:numId w:val="2"/>
        </w:numPr>
        <w:shd w:val="clear" w:color="auto" w:fill="F6F6F6"/>
        <w:spacing w:before="100" w:beforeAutospacing="1" w:after="100" w:afterAutospacing="1"/>
        <w:ind w:left="3060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82BB9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PBS + </w:t>
      </w:r>
      <w:r w:rsidR="00356D1B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10</w:t>
      </w:r>
      <w:r w:rsidRPr="00782BB9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% FBS for collecting &lt;10,000 sorted cells</w:t>
      </w:r>
    </w:p>
    <w:p w14:paraId="2A8AE7B7" w14:textId="77777777" w:rsidR="00782BB9" w:rsidRPr="00782BB9" w:rsidRDefault="00782BB9" w:rsidP="00782BB9">
      <w:pPr>
        <w:numPr>
          <w:ilvl w:val="2"/>
          <w:numId w:val="2"/>
        </w:numPr>
        <w:shd w:val="clear" w:color="auto" w:fill="F6F6F6"/>
        <w:spacing w:before="100" w:beforeAutospacing="1" w:after="100" w:afterAutospacing="1"/>
        <w:ind w:left="3060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82BB9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PBS + 20% FBS for collecting &lt;500,000 sorted cells</w:t>
      </w:r>
    </w:p>
    <w:p w14:paraId="2DE81380" w14:textId="238F571A" w:rsidR="00782BB9" w:rsidRPr="00782BB9" w:rsidRDefault="00782BB9" w:rsidP="00782BB9">
      <w:pPr>
        <w:numPr>
          <w:ilvl w:val="2"/>
          <w:numId w:val="2"/>
        </w:numPr>
        <w:shd w:val="clear" w:color="auto" w:fill="F6F6F6"/>
        <w:spacing w:before="100" w:beforeAutospacing="1" w:after="100" w:afterAutospacing="1"/>
        <w:ind w:left="3060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82BB9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100% FBS for</w:t>
      </w:r>
      <w:r w:rsidR="00356D1B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 </w:t>
      </w:r>
      <w:r w:rsidRPr="00782BB9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collecting</w:t>
      </w:r>
      <w:r w:rsidR="00356D1B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 xml:space="preserve"> </w:t>
      </w:r>
      <w:r w:rsidRPr="00782BB9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&gt;500,000 sorted cells</w:t>
      </w:r>
    </w:p>
    <w:p w14:paraId="1B595ABD" w14:textId="78809686" w:rsidR="00FD7240" w:rsidRDefault="00FF3748" w:rsidP="00583AA0">
      <w:r>
        <w:t xml:space="preserve">Make sure that cell counts are checked manually or </w:t>
      </w:r>
      <w:r w:rsidR="003D3703">
        <w:t>with a cell counter. Sorted counts need to be verified</w:t>
      </w:r>
      <w:r w:rsidR="00372496">
        <w:t xml:space="preserve"> for downstream assays.</w:t>
      </w:r>
    </w:p>
    <w:p w14:paraId="67D2CF77" w14:textId="77777777" w:rsidR="00F84949" w:rsidRDefault="00F84949" w:rsidP="00583AA0"/>
    <w:p w14:paraId="0494FCFE" w14:textId="3B29B18F" w:rsidR="00F84949" w:rsidRDefault="00F84949" w:rsidP="00583AA0">
      <w:pPr>
        <w:rPr>
          <w:b/>
          <w:bCs/>
        </w:rPr>
      </w:pPr>
      <w:r>
        <w:rPr>
          <w:b/>
          <w:bCs/>
        </w:rPr>
        <w:t>What Nozzle size should I use to sort nuclei?</w:t>
      </w:r>
    </w:p>
    <w:p w14:paraId="588BEFCD" w14:textId="0D432D1C" w:rsidR="00F84949" w:rsidRDefault="00A11914" w:rsidP="00583AA0">
      <w:r>
        <w:t>Sorting of nuclei is possible using the 70um</w:t>
      </w:r>
      <w:r w:rsidR="00B4272B">
        <w:t>, 85um</w:t>
      </w:r>
      <w:r>
        <w:t xml:space="preserve"> or 100um </w:t>
      </w:r>
      <w:r w:rsidR="00B60252">
        <w:t>nozzles.</w:t>
      </w:r>
      <w:r w:rsidR="00B4272B">
        <w:t xml:space="preserve"> If </w:t>
      </w:r>
      <w:r w:rsidR="00014D40">
        <w:t>nuclear integrity</w:t>
      </w:r>
      <w:r w:rsidR="000507B8">
        <w:t xml:space="preserve"> post-sort</w:t>
      </w:r>
      <w:r w:rsidR="00014D40">
        <w:t xml:space="preserve"> becomes an issue</w:t>
      </w:r>
      <w:r w:rsidR="000507B8">
        <w:t xml:space="preserve"> </w:t>
      </w:r>
      <w:r w:rsidR="00885BFF">
        <w:t xml:space="preserve">when </w:t>
      </w:r>
      <w:r w:rsidR="000507B8">
        <w:t>sorting on the 70um</w:t>
      </w:r>
      <w:r w:rsidR="00014D40">
        <w:t>, using the 85um-100um nozzles</w:t>
      </w:r>
      <w:r w:rsidR="00717FDF">
        <w:t xml:space="preserve"> are</w:t>
      </w:r>
      <w:r w:rsidR="00014D40">
        <w:t xml:space="preserve"> </w:t>
      </w:r>
      <w:r w:rsidR="00717FDF">
        <w:t>advisable</w:t>
      </w:r>
      <w:r w:rsidR="00014D40">
        <w:t xml:space="preserve"> due to their lower operating pressure</w:t>
      </w:r>
      <w:r w:rsidR="000507B8">
        <w:t>s</w:t>
      </w:r>
      <w:r w:rsidR="00885BFF">
        <w:t xml:space="preserve"> </w:t>
      </w:r>
      <w:r w:rsidR="00696632">
        <w:t>(~4</w:t>
      </w:r>
      <w:r w:rsidR="006A3744">
        <w:t>5</w:t>
      </w:r>
      <w:r w:rsidR="00C239F8">
        <w:t>psi and ~20psi, respectively)</w:t>
      </w:r>
      <w:r w:rsidR="00014D40">
        <w:t xml:space="preserve"> than the 70um</w:t>
      </w:r>
      <w:r w:rsidR="00717FDF">
        <w:t xml:space="preserve"> (~70psi)</w:t>
      </w:r>
      <w:r w:rsidR="00014D40">
        <w:t>.</w:t>
      </w:r>
    </w:p>
    <w:p w14:paraId="0380FA2E" w14:textId="77777777" w:rsidR="00E01F2A" w:rsidRDefault="00E01F2A" w:rsidP="00583AA0"/>
    <w:p w14:paraId="5795D0BF" w14:textId="5130B7ED" w:rsidR="00E01F2A" w:rsidRDefault="00E01F2A" w:rsidP="00583AA0">
      <w:r>
        <w:rPr>
          <w:b/>
          <w:bCs/>
        </w:rPr>
        <w:t>What if there is a lot of debris in my sample?</w:t>
      </w:r>
    </w:p>
    <w:p w14:paraId="2FC1544C" w14:textId="05077454" w:rsidR="006904BD" w:rsidRDefault="00E01F2A" w:rsidP="00583AA0">
      <w:r>
        <w:t xml:space="preserve">The dissociation protocol needs to be optimized. </w:t>
      </w:r>
      <w:r w:rsidR="006904BD">
        <w:t>Trying to sort</w:t>
      </w:r>
      <w:r w:rsidR="00717FDF">
        <w:t xml:space="preserve"> from </w:t>
      </w:r>
      <w:r w:rsidR="006904BD">
        <w:t xml:space="preserve">a sample with a lot of debris only decreases sort efficiency and increases the time required to sort. There are a variety of cleanup strategies available. Here are some suggestions specifically using the </w:t>
      </w:r>
      <w:proofErr w:type="spellStart"/>
      <w:r w:rsidR="006904BD">
        <w:t>Miltenyi</w:t>
      </w:r>
      <w:proofErr w:type="spellEnd"/>
      <w:r w:rsidR="006904BD">
        <w:t xml:space="preserve"> MACs system:</w:t>
      </w:r>
    </w:p>
    <w:p w14:paraId="314853B6" w14:textId="77777777" w:rsidR="00AF1024" w:rsidRDefault="00897E08" w:rsidP="008255CE">
      <w:pPr>
        <w:pStyle w:val="ListParagraph"/>
        <w:numPr>
          <w:ilvl w:val="0"/>
          <w:numId w:val="4"/>
        </w:numPr>
      </w:pPr>
      <w:r>
        <w:lastRenderedPageBreak/>
        <w:t xml:space="preserve">Debris removal solution: </w:t>
      </w:r>
    </w:p>
    <w:p w14:paraId="314EC701" w14:textId="24D43077" w:rsidR="008255CE" w:rsidRDefault="00C57D3F" w:rsidP="00AF1024">
      <w:pPr>
        <w:pStyle w:val="ListParagraph"/>
        <w:numPr>
          <w:ilvl w:val="1"/>
          <w:numId w:val="4"/>
        </w:numPr>
      </w:pPr>
      <w:hyperlink r:id="rId8" w:anchor="130-109-398" w:history="1">
        <w:r w:rsidRPr="00170687">
          <w:rPr>
            <w:rStyle w:val="Hyperlink"/>
          </w:rPr>
          <w:t>https://www.miltenyibiotec.com/IN-en/products/debris-removal-solution.html#130-109-398</w:t>
        </w:r>
      </w:hyperlink>
    </w:p>
    <w:p w14:paraId="37B76222" w14:textId="77777777" w:rsidR="00AF1024" w:rsidRDefault="00AF1024" w:rsidP="00AF1024"/>
    <w:p w14:paraId="71B1FE3C" w14:textId="210465AD" w:rsidR="00A10DAF" w:rsidRDefault="00AF1024" w:rsidP="00A10DAF">
      <w:pPr>
        <w:pStyle w:val="ListParagraph"/>
        <w:numPr>
          <w:ilvl w:val="0"/>
          <w:numId w:val="4"/>
        </w:numPr>
      </w:pPr>
      <w:r>
        <w:t>Myelin removal</w:t>
      </w:r>
      <w:r w:rsidR="00C57D3F">
        <w:t xml:space="preserve"> (when dealing with</w:t>
      </w:r>
      <w:r w:rsidR="00D95F79">
        <w:t xml:space="preserve"> brain and neuronal tissue)</w:t>
      </w:r>
      <w:r>
        <w:t>:</w:t>
      </w:r>
    </w:p>
    <w:p w14:paraId="6ED6CD0A" w14:textId="3293B389" w:rsidR="00AF1024" w:rsidRDefault="00C57D3F" w:rsidP="00AF1024">
      <w:pPr>
        <w:pStyle w:val="ListParagraph"/>
        <w:numPr>
          <w:ilvl w:val="1"/>
          <w:numId w:val="4"/>
        </w:numPr>
      </w:pPr>
      <w:hyperlink r:id="rId9" w:anchor="size=for-up-to-400-separations" w:history="1">
        <w:r w:rsidRPr="00170687">
          <w:rPr>
            <w:rStyle w:val="Hyperlink"/>
          </w:rPr>
          <w:t>https://www.miltenyibiotec.com/UN-en/products/myelin-removal-beads-ii-human-mouse-rat.html#size=for-up-to-400-separations</w:t>
        </w:r>
      </w:hyperlink>
    </w:p>
    <w:p w14:paraId="61367BE1" w14:textId="77777777" w:rsidR="00C57D3F" w:rsidRDefault="00C57D3F" w:rsidP="00C57D3F"/>
    <w:p w14:paraId="4571FC13" w14:textId="11BB32F6" w:rsidR="00717FDF" w:rsidRDefault="00717FDF" w:rsidP="00717FDF">
      <w:pPr>
        <w:pStyle w:val="ListParagraph"/>
        <w:numPr>
          <w:ilvl w:val="0"/>
          <w:numId w:val="4"/>
        </w:numPr>
      </w:pPr>
      <w:r>
        <w:t>Anti-nucleus microbeads (if isolating nuclei):</w:t>
      </w:r>
    </w:p>
    <w:p w14:paraId="40E0354D" w14:textId="77777777" w:rsidR="00717FDF" w:rsidRDefault="00717FDF" w:rsidP="00717FDF">
      <w:pPr>
        <w:pStyle w:val="ListParagraph"/>
        <w:numPr>
          <w:ilvl w:val="1"/>
          <w:numId w:val="4"/>
        </w:numPr>
      </w:pPr>
      <w:hyperlink r:id="rId10" w:history="1">
        <w:r w:rsidRPr="00170687">
          <w:rPr>
            <w:rStyle w:val="Hyperlink"/>
          </w:rPr>
          <w:t>https://www.miltenyibiotec.com/IN-en/au-en/products/anti-nucleus-microbeads.html</w:t>
        </w:r>
      </w:hyperlink>
    </w:p>
    <w:p w14:paraId="7469A0FD" w14:textId="77777777" w:rsidR="00717FDF" w:rsidRDefault="00717FDF" w:rsidP="00717FDF">
      <w:pPr>
        <w:pStyle w:val="ListParagraph"/>
        <w:numPr>
          <w:ilvl w:val="2"/>
          <w:numId w:val="4"/>
        </w:numPr>
      </w:pPr>
      <w:r>
        <w:t>The core has a magnet and magnet stand to use for this protocol.</w:t>
      </w:r>
    </w:p>
    <w:p w14:paraId="372A0FAC" w14:textId="77777777" w:rsidR="00C57D3F" w:rsidRPr="00E01F2A" w:rsidRDefault="00C57D3F" w:rsidP="00C57D3F"/>
    <w:sectPr w:rsidR="00C57D3F" w:rsidRPr="00E01F2A" w:rsidSect="004D16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D3B0" w14:textId="77777777" w:rsidR="00372E19" w:rsidRDefault="00372E19" w:rsidP="00782BB9">
      <w:r>
        <w:separator/>
      </w:r>
    </w:p>
  </w:endnote>
  <w:endnote w:type="continuationSeparator" w:id="0">
    <w:p w14:paraId="3296AAD2" w14:textId="77777777" w:rsidR="00372E19" w:rsidRDefault="00372E19" w:rsidP="0078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5C5C" w14:textId="77777777" w:rsidR="00372E19" w:rsidRDefault="00372E19" w:rsidP="00782BB9">
      <w:r>
        <w:separator/>
      </w:r>
    </w:p>
  </w:footnote>
  <w:footnote w:type="continuationSeparator" w:id="0">
    <w:p w14:paraId="0441956D" w14:textId="77777777" w:rsidR="00372E19" w:rsidRDefault="00372E19" w:rsidP="0078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0E2F"/>
    <w:multiLevelType w:val="multilevel"/>
    <w:tmpl w:val="BF2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581AFF"/>
    <w:multiLevelType w:val="hybridMultilevel"/>
    <w:tmpl w:val="32460BCA"/>
    <w:lvl w:ilvl="0" w:tplc="3C6C6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691A"/>
    <w:multiLevelType w:val="hybridMultilevel"/>
    <w:tmpl w:val="681EBEB2"/>
    <w:lvl w:ilvl="0" w:tplc="69009C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56984"/>
    <w:multiLevelType w:val="hybridMultilevel"/>
    <w:tmpl w:val="679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244373">
    <w:abstractNumId w:val="3"/>
  </w:num>
  <w:num w:numId="2" w16cid:durableId="1370301962">
    <w:abstractNumId w:val="0"/>
  </w:num>
  <w:num w:numId="3" w16cid:durableId="1639342517">
    <w:abstractNumId w:val="1"/>
  </w:num>
  <w:num w:numId="4" w16cid:durableId="195555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0"/>
    <w:rsid w:val="00002D86"/>
    <w:rsid w:val="00013931"/>
    <w:rsid w:val="00014D40"/>
    <w:rsid w:val="00035962"/>
    <w:rsid w:val="000507B8"/>
    <w:rsid w:val="000A14B2"/>
    <w:rsid w:val="00106721"/>
    <w:rsid w:val="001511FC"/>
    <w:rsid w:val="00170ECB"/>
    <w:rsid w:val="0018637B"/>
    <w:rsid w:val="00186666"/>
    <w:rsid w:val="001A5111"/>
    <w:rsid w:val="001A6BAC"/>
    <w:rsid w:val="001E7BBB"/>
    <w:rsid w:val="001F6A36"/>
    <w:rsid w:val="00263990"/>
    <w:rsid w:val="00271F39"/>
    <w:rsid w:val="002811D8"/>
    <w:rsid w:val="002E2CE9"/>
    <w:rsid w:val="00327E95"/>
    <w:rsid w:val="00336924"/>
    <w:rsid w:val="00356D1B"/>
    <w:rsid w:val="00372496"/>
    <w:rsid w:val="00372E19"/>
    <w:rsid w:val="00373616"/>
    <w:rsid w:val="00374991"/>
    <w:rsid w:val="003A35E3"/>
    <w:rsid w:val="003A63C4"/>
    <w:rsid w:val="003D3703"/>
    <w:rsid w:val="003E4011"/>
    <w:rsid w:val="003E45A4"/>
    <w:rsid w:val="00400107"/>
    <w:rsid w:val="0042665A"/>
    <w:rsid w:val="00437800"/>
    <w:rsid w:val="00471F36"/>
    <w:rsid w:val="004905A3"/>
    <w:rsid w:val="004D16B3"/>
    <w:rsid w:val="004D4805"/>
    <w:rsid w:val="004E185B"/>
    <w:rsid w:val="00576611"/>
    <w:rsid w:val="00583AA0"/>
    <w:rsid w:val="005E0310"/>
    <w:rsid w:val="00640398"/>
    <w:rsid w:val="00645E01"/>
    <w:rsid w:val="006904BD"/>
    <w:rsid w:val="00696632"/>
    <w:rsid w:val="006A3744"/>
    <w:rsid w:val="006A6A65"/>
    <w:rsid w:val="006B438E"/>
    <w:rsid w:val="006F527A"/>
    <w:rsid w:val="00701AA1"/>
    <w:rsid w:val="00717FDF"/>
    <w:rsid w:val="00722251"/>
    <w:rsid w:val="00780CDD"/>
    <w:rsid w:val="00782BB9"/>
    <w:rsid w:val="007C7732"/>
    <w:rsid w:val="008255CE"/>
    <w:rsid w:val="008364DF"/>
    <w:rsid w:val="00885BFF"/>
    <w:rsid w:val="00897E08"/>
    <w:rsid w:val="008B098D"/>
    <w:rsid w:val="008B6F8F"/>
    <w:rsid w:val="009179E3"/>
    <w:rsid w:val="00931522"/>
    <w:rsid w:val="00946B10"/>
    <w:rsid w:val="0096260D"/>
    <w:rsid w:val="009C4A7C"/>
    <w:rsid w:val="009E6B6E"/>
    <w:rsid w:val="00A04D39"/>
    <w:rsid w:val="00A10DAF"/>
    <w:rsid w:val="00A11914"/>
    <w:rsid w:val="00A445AA"/>
    <w:rsid w:val="00A70E62"/>
    <w:rsid w:val="00A85BC2"/>
    <w:rsid w:val="00AC77FD"/>
    <w:rsid w:val="00AF1024"/>
    <w:rsid w:val="00B361B6"/>
    <w:rsid w:val="00B4272B"/>
    <w:rsid w:val="00B464D6"/>
    <w:rsid w:val="00B60252"/>
    <w:rsid w:val="00B70937"/>
    <w:rsid w:val="00B8770F"/>
    <w:rsid w:val="00BC1660"/>
    <w:rsid w:val="00C239F8"/>
    <w:rsid w:val="00C57D3F"/>
    <w:rsid w:val="00CA5AFC"/>
    <w:rsid w:val="00CB0708"/>
    <w:rsid w:val="00CB592B"/>
    <w:rsid w:val="00CC17BD"/>
    <w:rsid w:val="00CF5F7C"/>
    <w:rsid w:val="00D024A7"/>
    <w:rsid w:val="00D05193"/>
    <w:rsid w:val="00D073F7"/>
    <w:rsid w:val="00D77EE6"/>
    <w:rsid w:val="00D95F79"/>
    <w:rsid w:val="00DE41A3"/>
    <w:rsid w:val="00E01F2A"/>
    <w:rsid w:val="00E11804"/>
    <w:rsid w:val="00E83FAC"/>
    <w:rsid w:val="00F45167"/>
    <w:rsid w:val="00F84949"/>
    <w:rsid w:val="00F9328B"/>
    <w:rsid w:val="00FD7240"/>
    <w:rsid w:val="00FE7134"/>
    <w:rsid w:val="00FF3748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B321"/>
  <w15:chartTrackingRefBased/>
  <w15:docId w15:val="{61D2C40D-3790-834B-81D2-755541C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C2"/>
    <w:pPr>
      <w:ind w:left="720"/>
      <w:contextualSpacing/>
    </w:pPr>
  </w:style>
  <w:style w:type="character" w:customStyle="1" w:styleId="im">
    <w:name w:val="im"/>
    <w:basedOn w:val="DefaultParagraphFont"/>
    <w:rsid w:val="00782BB9"/>
  </w:style>
  <w:style w:type="character" w:customStyle="1" w:styleId="wysiwyg-color-black">
    <w:name w:val="wysiwyg-color-black"/>
    <w:basedOn w:val="DefaultParagraphFont"/>
    <w:rsid w:val="00782BB9"/>
  </w:style>
  <w:style w:type="character" w:styleId="Hyperlink">
    <w:name w:val="Hyperlink"/>
    <w:basedOn w:val="DefaultParagraphFont"/>
    <w:uiPriority w:val="99"/>
    <w:unhideWhenUsed/>
    <w:rsid w:val="00782BB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BB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BB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1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tenyibiotec.com/IN-en/products/debris-removal-solu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ltenyibiotec.com/IN-en/au-en/products/anti-nucleus-microbea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ltenyibiotec.com/UN-en/products/myelin-removal-beads-ii-human-mouse-r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DE6A-F880-4A43-8B9C-EE161667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Amanda Nicole</dc:creator>
  <cp:keywords/>
  <dc:description/>
  <cp:lastModifiedBy>White, Amanda Nicole</cp:lastModifiedBy>
  <cp:revision>21</cp:revision>
  <dcterms:created xsi:type="dcterms:W3CDTF">2025-06-11T21:19:00Z</dcterms:created>
  <dcterms:modified xsi:type="dcterms:W3CDTF">2025-06-17T13:19:00Z</dcterms:modified>
</cp:coreProperties>
</file>